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1" w:rsidRPr="00880272" w:rsidRDefault="00261181" w:rsidP="00466FA2">
      <w:pPr>
        <w:jc w:val="center"/>
        <w:rPr>
          <w:rFonts w:ascii="Verdana" w:hAnsi="Verdana"/>
          <w:b/>
          <w:sz w:val="18"/>
          <w:szCs w:val="18"/>
        </w:rPr>
      </w:pPr>
      <w:r w:rsidRPr="00880272">
        <w:rPr>
          <w:rFonts w:ascii="Verdana" w:hAnsi="Verdana"/>
          <w:b/>
          <w:sz w:val="18"/>
          <w:szCs w:val="18"/>
        </w:rPr>
        <w:t>6. ULUSAL BİTKİ BESLEME VE GÜBRE KONGRESİ</w:t>
      </w:r>
    </w:p>
    <w:p w:rsidR="00261181" w:rsidRPr="00880272" w:rsidRDefault="00261181" w:rsidP="00466FA2">
      <w:pPr>
        <w:jc w:val="center"/>
        <w:rPr>
          <w:rFonts w:ascii="Verdana" w:hAnsi="Verdana"/>
          <w:b/>
          <w:sz w:val="18"/>
          <w:szCs w:val="18"/>
        </w:rPr>
      </w:pPr>
      <w:bookmarkStart w:id="0" w:name="_GoBack"/>
      <w:r w:rsidRPr="00880272">
        <w:rPr>
          <w:rFonts w:ascii="Verdana" w:hAnsi="Verdana"/>
          <w:b/>
          <w:sz w:val="18"/>
          <w:szCs w:val="18"/>
        </w:rPr>
        <w:t>SONUÇ BİLDİRGESİ</w:t>
      </w:r>
    </w:p>
    <w:bookmarkEnd w:id="0"/>
    <w:p w:rsidR="00261181" w:rsidRPr="00880272" w:rsidRDefault="00261181" w:rsidP="00466FA2">
      <w:pPr>
        <w:jc w:val="both"/>
        <w:rPr>
          <w:rFonts w:ascii="Verdana" w:hAnsi="Verdana"/>
          <w:sz w:val="18"/>
          <w:szCs w:val="18"/>
        </w:rPr>
      </w:pPr>
    </w:p>
    <w:p w:rsidR="00C42E1F" w:rsidRPr="00880272" w:rsidRDefault="00261181" w:rsidP="009854D3">
      <w:pPr>
        <w:pStyle w:val="Balk1"/>
        <w:jc w:val="both"/>
        <w:rPr>
          <w:rFonts w:ascii="Verdana" w:hAnsi="Verdana"/>
          <w:sz w:val="18"/>
          <w:szCs w:val="18"/>
          <w:lang w:val="en-US"/>
        </w:rPr>
      </w:pPr>
      <w:proofErr w:type="gramStart"/>
      <w:r w:rsidRPr="00880272">
        <w:rPr>
          <w:rStyle w:val="Vurgu"/>
          <w:rFonts w:ascii="Verdana" w:hAnsi="Verdana"/>
          <w:b w:val="0"/>
          <w:sz w:val="18"/>
          <w:szCs w:val="18"/>
        </w:rPr>
        <w:t xml:space="preserve">Gıda Tarım ve Hayvancılık Bakanlığı adına, </w:t>
      </w:r>
      <w:r w:rsidRPr="00880272">
        <w:rPr>
          <w:rFonts w:ascii="Verdana" w:hAnsi="Verdana"/>
          <w:sz w:val="18"/>
          <w:szCs w:val="18"/>
        </w:rPr>
        <w:t xml:space="preserve">Toprak Gübre ve Su Kaynakları Merkez Araştırma Enstitüsü Müdürlüğü olarak, Bakanlığımız Tarımsal Araştırmalar ve Politikalar Genel Müdürlüğü, Bitkisel Üretim Genel Müdürlüğü ve Tarım Reformu Genel Müdürlüğünün destekleri, Ankara Üniversitesi Ziraat Fakültesi ve Toprak İlmi Derneğinin katkıları, Gübre Üreticileri İthalatçıları ve İhracatçıları Derneği ile Gübre İthalatçıları ve Dağıtıcıları Derneğinin işbirliği ile 03 – 07 Haziran 2013 tarihleri arasında Nevşehir’de </w:t>
      </w:r>
      <w:r w:rsidRPr="00880272">
        <w:rPr>
          <w:rFonts w:ascii="Verdana" w:hAnsi="Verdana"/>
          <w:b/>
          <w:bCs/>
          <w:i/>
          <w:sz w:val="18"/>
          <w:szCs w:val="18"/>
          <w:lang w:val="en-US"/>
        </w:rPr>
        <w:t xml:space="preserve">"6. Ulusal Bitki Besleme ve Gübre Kongresi" </w:t>
      </w:r>
      <w:r w:rsidRPr="00880272">
        <w:rPr>
          <w:rFonts w:ascii="Verdana" w:hAnsi="Verdana"/>
          <w:sz w:val="18"/>
          <w:szCs w:val="18"/>
          <w:lang w:val="en-US"/>
        </w:rPr>
        <w:t xml:space="preserve">düzenlenmiştir. </w:t>
      </w:r>
      <w:proofErr w:type="gramEnd"/>
    </w:p>
    <w:p w:rsidR="002B4C08" w:rsidRPr="009854D3" w:rsidRDefault="002B4C08" w:rsidP="00466FA2">
      <w:pPr>
        <w:shd w:val="clear" w:color="auto" w:fill="FFFFFF"/>
        <w:jc w:val="both"/>
        <w:rPr>
          <w:rStyle w:val="Vurgu"/>
          <w:rFonts w:ascii="Verdana" w:hAnsi="Verdana"/>
          <w:b w:val="0"/>
          <w:bCs w:val="0"/>
          <w:sz w:val="18"/>
          <w:szCs w:val="18"/>
        </w:rPr>
      </w:pPr>
      <w:proofErr w:type="gramStart"/>
      <w:r w:rsidRPr="00880272">
        <w:rPr>
          <w:rFonts w:ascii="Verdana" w:hAnsi="Verdana"/>
          <w:sz w:val="18"/>
          <w:szCs w:val="18"/>
        </w:rPr>
        <w:t xml:space="preserve">Konu ile ilgili olarak güncel bilgileri aktarmak, tamamlanmış çalışmalara ait deneyimleri paylaşmak ve tartışmak amacıyla, Bitki Besleme ve Gübreleme ve ilgili konularda çalışan Akademisyenlerimiz, </w:t>
      </w:r>
      <w:r w:rsidRPr="00880272">
        <w:rPr>
          <w:rStyle w:val="Vurgu"/>
          <w:rFonts w:ascii="Verdana" w:hAnsi="Verdana"/>
          <w:b w:val="0"/>
          <w:sz w:val="18"/>
          <w:szCs w:val="18"/>
        </w:rPr>
        <w:t>Gıda Tarım ve Hayvancılık Bakanlığına</w:t>
      </w:r>
      <w:r w:rsidRPr="00880272">
        <w:rPr>
          <w:rFonts w:ascii="Verdana" w:hAnsi="Verdana"/>
          <w:sz w:val="18"/>
          <w:szCs w:val="18"/>
        </w:rPr>
        <w:t xml:space="preserve"> bağlı tüm ilgili birimlerimiz, Gübre Sektörünün Mensupları, Kamu, Özel ve Tüzel Toprak Bitki Analiz Laboratuvarları ve konuya ilgi duyan herkese açık olarak düzenlenen kongreye 500 kişinin üzerinde katılım gerçekleşmiştir.</w:t>
      </w:r>
      <w:proofErr w:type="gramEnd"/>
    </w:p>
    <w:p w:rsidR="00BF6E18" w:rsidRPr="00880272" w:rsidRDefault="00C42E1F" w:rsidP="00466FA2">
      <w:pPr>
        <w:jc w:val="both"/>
        <w:rPr>
          <w:rFonts w:ascii="Verdana" w:hAnsi="Verdana"/>
          <w:sz w:val="18"/>
          <w:szCs w:val="18"/>
        </w:rPr>
      </w:pPr>
      <w:r w:rsidRPr="00880272">
        <w:rPr>
          <w:rFonts w:ascii="Verdana" w:hAnsi="Verdana"/>
          <w:sz w:val="18"/>
          <w:szCs w:val="18"/>
        </w:rPr>
        <w:t xml:space="preserve">Kongremize, gübre sektörümüzden GÜBRETAŞ, TOROS TARIM, TETRA platin </w:t>
      </w:r>
      <w:proofErr w:type="gramStart"/>
      <w:r w:rsidRPr="00880272">
        <w:rPr>
          <w:rFonts w:ascii="Verdana" w:hAnsi="Verdana"/>
          <w:sz w:val="18"/>
          <w:szCs w:val="18"/>
        </w:rPr>
        <w:t>sponsor</w:t>
      </w:r>
      <w:proofErr w:type="gramEnd"/>
      <w:r w:rsidRPr="00880272">
        <w:rPr>
          <w:rFonts w:ascii="Verdana" w:hAnsi="Verdana"/>
          <w:sz w:val="18"/>
          <w:szCs w:val="18"/>
        </w:rPr>
        <w:t xml:space="preserve">, TKİ, İGSAŞ altın sponsor,  </w:t>
      </w:r>
      <w:r w:rsidR="00FE7530" w:rsidRPr="00880272">
        <w:rPr>
          <w:rFonts w:ascii="Verdana" w:hAnsi="Verdana"/>
          <w:sz w:val="18"/>
          <w:szCs w:val="18"/>
        </w:rPr>
        <w:t xml:space="preserve">BOREN, DENİZBANK gümüş sponsor, </w:t>
      </w:r>
      <w:r w:rsidR="0067101F" w:rsidRPr="00880272">
        <w:rPr>
          <w:rFonts w:ascii="Verdana" w:hAnsi="Verdana"/>
          <w:sz w:val="18"/>
          <w:szCs w:val="18"/>
        </w:rPr>
        <w:t xml:space="preserve">DOĞA TOHUMCULUK, AR TAHUMCULUK, </w:t>
      </w:r>
      <w:r w:rsidRPr="00880272">
        <w:rPr>
          <w:rFonts w:ascii="Verdana" w:hAnsi="Verdana"/>
          <w:sz w:val="18"/>
          <w:szCs w:val="18"/>
        </w:rPr>
        <w:t xml:space="preserve">TÜMOSAN, TACO, </w:t>
      </w:r>
      <w:r w:rsidR="00CB10CF" w:rsidRPr="00880272">
        <w:rPr>
          <w:rFonts w:ascii="Verdana" w:hAnsi="Verdana"/>
          <w:sz w:val="18"/>
          <w:szCs w:val="18"/>
        </w:rPr>
        <w:t>BİLMAR</w:t>
      </w:r>
      <w:r w:rsidR="0067101F" w:rsidRPr="00880272">
        <w:rPr>
          <w:rFonts w:ascii="Verdana" w:hAnsi="Verdana"/>
          <w:sz w:val="18"/>
          <w:szCs w:val="18"/>
        </w:rPr>
        <w:t xml:space="preserve">, TERRA LAB, DR. TARSA, CANDEM, GÜBRE ÜRETİCİLERİ İTHALATÇILARI VE İHRACATÇILARI DERNEĞİ, GÜBRE İTHALATÇILARI VE DAĞITICILARI DERNEĞİ </w:t>
      </w:r>
      <w:r w:rsidR="00CB10CF" w:rsidRPr="00880272">
        <w:rPr>
          <w:rFonts w:ascii="Verdana" w:hAnsi="Verdana"/>
          <w:sz w:val="18"/>
          <w:szCs w:val="18"/>
        </w:rPr>
        <w:t xml:space="preserve">diğer sponsor, NEVŞEHİR BELEDİYE BAŞKANLIĞI, NEVŞEHİR TİCARET BORSASI, NEVŞEHİR ZİRAAT ODASI </w:t>
      </w:r>
      <w:r w:rsidR="0067101F" w:rsidRPr="00880272">
        <w:rPr>
          <w:rFonts w:ascii="Verdana" w:hAnsi="Verdana"/>
          <w:sz w:val="18"/>
          <w:szCs w:val="18"/>
        </w:rPr>
        <w:t xml:space="preserve">kamusal </w:t>
      </w:r>
      <w:r w:rsidR="00CB10CF" w:rsidRPr="00880272">
        <w:rPr>
          <w:rFonts w:ascii="Verdana" w:hAnsi="Verdana"/>
          <w:sz w:val="18"/>
          <w:szCs w:val="18"/>
        </w:rPr>
        <w:t>sponsor ve BEREKET TV medya sponsoru olarak</w:t>
      </w:r>
      <w:r w:rsidR="0067101F" w:rsidRPr="00880272">
        <w:rPr>
          <w:rFonts w:ascii="Verdana" w:hAnsi="Verdana"/>
          <w:sz w:val="18"/>
          <w:szCs w:val="18"/>
        </w:rPr>
        <w:t>, gübre sektöründe hizmet veren kimi küçük ölçekli şirketler ve sektörde yer alan diğer kuruluşlar</w:t>
      </w:r>
      <w:r w:rsidR="002B4C08" w:rsidRPr="00880272">
        <w:rPr>
          <w:rFonts w:ascii="Verdana" w:hAnsi="Verdana"/>
          <w:sz w:val="18"/>
          <w:szCs w:val="18"/>
        </w:rPr>
        <w:t xml:space="preserve"> da</w:t>
      </w:r>
      <w:r w:rsidR="0067101F" w:rsidRPr="00880272">
        <w:rPr>
          <w:rFonts w:ascii="Verdana" w:hAnsi="Verdana"/>
          <w:sz w:val="18"/>
          <w:szCs w:val="18"/>
        </w:rPr>
        <w:t xml:space="preserve"> </w:t>
      </w:r>
      <w:r w:rsidR="00CB10CF" w:rsidRPr="00880272">
        <w:rPr>
          <w:rFonts w:ascii="Verdana" w:hAnsi="Verdana"/>
          <w:sz w:val="18"/>
          <w:szCs w:val="18"/>
        </w:rPr>
        <w:t>maddi ve manevi destek sağlamışlardır.</w:t>
      </w:r>
    </w:p>
    <w:p w:rsidR="00E64505" w:rsidRPr="00880272" w:rsidRDefault="0087647C" w:rsidP="00466FA2">
      <w:pPr>
        <w:jc w:val="both"/>
        <w:rPr>
          <w:rFonts w:ascii="Verdana" w:hAnsi="Verdana"/>
          <w:sz w:val="18"/>
          <w:szCs w:val="18"/>
        </w:rPr>
      </w:pPr>
      <w:r w:rsidRPr="00880272">
        <w:rPr>
          <w:rFonts w:ascii="Verdana" w:hAnsi="Verdana"/>
          <w:sz w:val="18"/>
          <w:szCs w:val="18"/>
        </w:rPr>
        <w:t>Bu kongre</w:t>
      </w:r>
      <w:r w:rsidR="00E64505" w:rsidRPr="00880272">
        <w:rPr>
          <w:rFonts w:ascii="Verdana" w:hAnsi="Verdana"/>
          <w:sz w:val="18"/>
          <w:szCs w:val="18"/>
        </w:rPr>
        <w:t>d</w:t>
      </w:r>
      <w:r w:rsidRPr="00880272">
        <w:rPr>
          <w:rFonts w:ascii="Verdana" w:hAnsi="Verdana"/>
          <w:sz w:val="18"/>
          <w:szCs w:val="18"/>
        </w:rPr>
        <w:t>e</w:t>
      </w:r>
      <w:r w:rsidR="00E64505" w:rsidRPr="00880272">
        <w:rPr>
          <w:rFonts w:ascii="Verdana" w:hAnsi="Verdana"/>
          <w:sz w:val="18"/>
          <w:szCs w:val="18"/>
        </w:rPr>
        <w:t>, önceden yapılan</w:t>
      </w:r>
      <w:r w:rsidRPr="00880272">
        <w:rPr>
          <w:rFonts w:ascii="Verdana" w:hAnsi="Verdana"/>
          <w:sz w:val="18"/>
          <w:szCs w:val="18"/>
        </w:rPr>
        <w:t xml:space="preserve"> 5 kongreden farklı olarak, konu</w:t>
      </w:r>
      <w:r w:rsidR="00E64505" w:rsidRPr="00880272">
        <w:rPr>
          <w:rFonts w:ascii="Verdana" w:hAnsi="Verdana"/>
          <w:sz w:val="18"/>
          <w:szCs w:val="18"/>
        </w:rPr>
        <w:t>ları</w:t>
      </w:r>
      <w:r w:rsidRPr="00880272">
        <w:rPr>
          <w:rFonts w:ascii="Verdana" w:hAnsi="Verdana"/>
          <w:sz w:val="18"/>
          <w:szCs w:val="18"/>
        </w:rPr>
        <w:t xml:space="preserve"> ile ilgili tüm tarafların katılımı ile </w:t>
      </w:r>
      <w:r w:rsidR="00E64505" w:rsidRPr="00880272">
        <w:rPr>
          <w:rFonts w:ascii="Verdana" w:hAnsi="Verdana"/>
          <w:i/>
          <w:sz w:val="18"/>
          <w:szCs w:val="18"/>
        </w:rPr>
        <w:t>“</w:t>
      </w:r>
      <w:r w:rsidR="00E64505" w:rsidRPr="00880272">
        <w:rPr>
          <w:rFonts w:ascii="Verdana" w:hAnsi="Verdana"/>
          <w:b/>
          <w:i/>
          <w:sz w:val="18"/>
          <w:szCs w:val="18"/>
        </w:rPr>
        <w:t xml:space="preserve">Gübre Üretimi, Tüketimi, Dağıtımı, Sorunları ve Çözüm Yolları” </w:t>
      </w:r>
      <w:r w:rsidR="00E64505" w:rsidRPr="00880272">
        <w:rPr>
          <w:rFonts w:ascii="Verdana" w:hAnsi="Verdana"/>
          <w:sz w:val="18"/>
          <w:szCs w:val="18"/>
        </w:rPr>
        <w:t>ve</w:t>
      </w:r>
      <w:r w:rsidR="00E64505" w:rsidRPr="00880272">
        <w:rPr>
          <w:rFonts w:ascii="Verdana" w:hAnsi="Verdana"/>
          <w:b/>
          <w:i/>
          <w:sz w:val="18"/>
          <w:szCs w:val="18"/>
        </w:rPr>
        <w:t xml:space="preserve"> “Toprak ve Bitki Analiz Laboratuvarlarının Sorunları ve Çözüm Yolları”</w:t>
      </w:r>
      <w:r w:rsidRPr="00880272">
        <w:rPr>
          <w:rFonts w:ascii="Verdana" w:hAnsi="Verdana"/>
          <w:b/>
          <w:sz w:val="18"/>
          <w:szCs w:val="18"/>
        </w:rPr>
        <w:t xml:space="preserve"> </w:t>
      </w:r>
      <w:r w:rsidRPr="00880272">
        <w:rPr>
          <w:rFonts w:ascii="Verdana" w:hAnsi="Verdana"/>
          <w:sz w:val="18"/>
          <w:szCs w:val="18"/>
        </w:rPr>
        <w:t>isimli</w:t>
      </w:r>
      <w:r w:rsidR="00E64505" w:rsidRPr="00880272">
        <w:rPr>
          <w:rFonts w:ascii="Verdana" w:hAnsi="Verdana"/>
          <w:sz w:val="18"/>
          <w:szCs w:val="18"/>
        </w:rPr>
        <w:t xml:space="preserve"> iki panel düzenlenmiştir. Ayrıca kongrede </w:t>
      </w:r>
      <w:r w:rsidR="00261181" w:rsidRPr="00880272">
        <w:rPr>
          <w:rFonts w:ascii="Verdana" w:hAnsi="Verdana"/>
          <w:sz w:val="18"/>
          <w:szCs w:val="18"/>
        </w:rPr>
        <w:t xml:space="preserve">1 adet çağrılı bildiri, 80 adet sözlü bildiri ve 87 adet poster bildiri </w:t>
      </w:r>
      <w:r w:rsidR="00E64505" w:rsidRPr="00880272">
        <w:rPr>
          <w:rFonts w:ascii="Verdana" w:hAnsi="Verdana"/>
          <w:sz w:val="18"/>
          <w:szCs w:val="18"/>
        </w:rPr>
        <w:t xml:space="preserve">olmak üzere 168 adet bildiri </w:t>
      </w:r>
      <w:r w:rsidR="00261181" w:rsidRPr="00880272">
        <w:rPr>
          <w:rFonts w:ascii="Verdana" w:hAnsi="Verdana"/>
          <w:sz w:val="18"/>
          <w:szCs w:val="18"/>
        </w:rPr>
        <w:t xml:space="preserve">sunulmuştur. </w:t>
      </w:r>
    </w:p>
    <w:p w:rsidR="00261181" w:rsidRDefault="00261181" w:rsidP="00466FA2">
      <w:pPr>
        <w:jc w:val="both"/>
        <w:rPr>
          <w:rFonts w:ascii="Verdana" w:hAnsi="Verdana"/>
          <w:sz w:val="18"/>
          <w:szCs w:val="18"/>
        </w:rPr>
      </w:pPr>
      <w:r w:rsidRPr="00880272">
        <w:rPr>
          <w:rFonts w:ascii="Verdana" w:hAnsi="Verdana"/>
          <w:sz w:val="18"/>
          <w:szCs w:val="18"/>
        </w:rPr>
        <w:t>Kongre boyunca yapılan sunumlar ve tartışmalar sonucu ülkemizin kazanç ve menfaatleri nedeniyle ilgili kurum ve kuruluşlarca acilen gerçekleştirilmesi ve çözülmesi gereken hususlar</w:t>
      </w:r>
      <w:r w:rsidR="00E64505" w:rsidRPr="00880272">
        <w:rPr>
          <w:rFonts w:ascii="Verdana" w:hAnsi="Verdana"/>
          <w:sz w:val="18"/>
          <w:szCs w:val="18"/>
        </w:rPr>
        <w:t>la ilgili</w:t>
      </w:r>
      <w:r w:rsidRPr="00880272">
        <w:rPr>
          <w:rFonts w:ascii="Verdana" w:hAnsi="Verdana"/>
          <w:sz w:val="18"/>
          <w:szCs w:val="18"/>
        </w:rPr>
        <w:t xml:space="preserve"> </w:t>
      </w:r>
      <w:r w:rsidR="00E64505" w:rsidRPr="00880272">
        <w:rPr>
          <w:rFonts w:ascii="Verdana" w:hAnsi="Verdana"/>
          <w:b/>
          <w:i/>
          <w:sz w:val="18"/>
          <w:szCs w:val="18"/>
        </w:rPr>
        <w:t>ö</w:t>
      </w:r>
      <w:r w:rsidRPr="00880272">
        <w:rPr>
          <w:rFonts w:ascii="Verdana" w:hAnsi="Verdana"/>
          <w:b/>
          <w:i/>
          <w:sz w:val="18"/>
          <w:szCs w:val="18"/>
        </w:rPr>
        <w:t>neriler</w:t>
      </w:r>
      <w:r w:rsidRPr="00880272">
        <w:rPr>
          <w:rFonts w:ascii="Verdana" w:hAnsi="Verdana"/>
          <w:sz w:val="18"/>
          <w:szCs w:val="18"/>
        </w:rPr>
        <w:t xml:space="preserve"> </w:t>
      </w:r>
      <w:r w:rsidR="00E64505" w:rsidRPr="00880272">
        <w:rPr>
          <w:rFonts w:ascii="Verdana" w:hAnsi="Verdana"/>
          <w:sz w:val="18"/>
          <w:szCs w:val="18"/>
        </w:rPr>
        <w:t xml:space="preserve">maddeler halinde </w:t>
      </w:r>
      <w:r w:rsidRPr="00880272">
        <w:rPr>
          <w:rFonts w:ascii="Verdana" w:hAnsi="Verdana"/>
          <w:sz w:val="18"/>
          <w:szCs w:val="18"/>
        </w:rPr>
        <w:t xml:space="preserve">aşağıda sunulmuştur. </w:t>
      </w:r>
    </w:p>
    <w:p w:rsidR="009854D3" w:rsidRPr="00880272" w:rsidRDefault="009854D3" w:rsidP="00466FA2">
      <w:pPr>
        <w:jc w:val="both"/>
        <w:rPr>
          <w:rFonts w:ascii="Verdana" w:hAnsi="Verdana"/>
          <w:sz w:val="18"/>
          <w:szCs w:val="18"/>
        </w:rPr>
      </w:pPr>
    </w:p>
    <w:p w:rsidR="00C468EC" w:rsidRPr="00C468EC" w:rsidRDefault="00F60D10"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“Sahte gübre” sorununa çözüm için caydırıcı hukuksal yaptırımlar getirilmeli, Ambalaj sanayi, gübre torbaları ve ambalajlarında barkod sistemine geçmelidir. Bu konuda taklidi önlemek amacıyla TÜBİTAK tarafından yürütülen nitrat projesi kapsamında geliştirilen barkod sisteminden yararlanılabilir.</w:t>
      </w:r>
    </w:p>
    <w:p w:rsidR="00C468EC" w:rsidRPr="00C468EC" w:rsidRDefault="00F04EFB"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Ülkemizde toplam olarak bakıldığında gübre tüketimi halen yeterli düzeyde olmamakla birlikte bilinçsiz bir gübre tüketimi mevcuttur. Bu durum bitkisel üretimde kalite ve verim kayıplarına neden olması yanında </w:t>
      </w:r>
      <w:proofErr w:type="spellStart"/>
      <w:r w:rsidRPr="00C468EC">
        <w:rPr>
          <w:rFonts w:ascii="Verdana" w:hAnsi="Verdana"/>
          <w:sz w:val="18"/>
          <w:szCs w:val="18"/>
        </w:rPr>
        <w:t>çevreye’de</w:t>
      </w:r>
      <w:proofErr w:type="spellEnd"/>
      <w:r w:rsidRPr="00C468EC">
        <w:rPr>
          <w:rFonts w:ascii="Verdana" w:hAnsi="Verdana"/>
          <w:sz w:val="18"/>
          <w:szCs w:val="18"/>
        </w:rPr>
        <w:t xml:space="preserve"> zarar vermektedir. Bu nedenle sorunun çözümü ile ilgili çalışmalar hızla yapılmalıdır.</w:t>
      </w:r>
    </w:p>
    <w:p w:rsidR="00C468EC" w:rsidRDefault="004C3B7A"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Türkiye’de yıllık gübre üretim ve tüketim istatistikleri sağlıklı olmadığı düşünülmektedir. Bu verilerin güvenilir olması için bakanlık bünyesinde çalışma yapılmalıdır.</w:t>
      </w:r>
    </w:p>
    <w:p w:rsidR="00C468EC" w:rsidRDefault="00D51BA6"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 xml:space="preserve">Ülkemizde özellikle sıvı gübrelerin, organik gübrelerin ve </w:t>
      </w:r>
      <w:proofErr w:type="spellStart"/>
      <w:r w:rsidRPr="00C468EC">
        <w:rPr>
          <w:rFonts w:ascii="Verdana" w:hAnsi="Verdana"/>
          <w:bCs/>
          <w:color w:val="000000"/>
          <w:sz w:val="18"/>
          <w:szCs w:val="18"/>
        </w:rPr>
        <w:t>şelatlı</w:t>
      </w:r>
      <w:proofErr w:type="spellEnd"/>
      <w:r w:rsidRPr="00C468EC">
        <w:rPr>
          <w:rFonts w:ascii="Verdana" w:hAnsi="Verdana"/>
          <w:bCs/>
          <w:color w:val="000000"/>
          <w:sz w:val="18"/>
          <w:szCs w:val="18"/>
        </w:rPr>
        <w:t xml:space="preserve"> gübrelerin üretim ve tüketim istatistikleri hiçbir şekilde bulunmamaktadır.  Bu verilerin oluşturulması için bakanlık bünyesinde çalışma yapılmalıdır.</w:t>
      </w:r>
    </w:p>
    <w:p w:rsidR="00C468EC" w:rsidRDefault="005601E8"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Gübrelerde stok kontrolünün yapılabilmesi için üretim aşaması ve tüketici aşamasına kadar barko</w:t>
      </w:r>
      <w:r w:rsidR="004E3400" w:rsidRPr="00C468EC">
        <w:rPr>
          <w:rFonts w:ascii="Verdana" w:hAnsi="Verdana"/>
          <w:bCs/>
          <w:color w:val="000000"/>
          <w:sz w:val="18"/>
          <w:szCs w:val="18"/>
        </w:rPr>
        <w:t>d</w:t>
      </w:r>
      <w:r w:rsidRPr="00C468EC">
        <w:rPr>
          <w:rFonts w:ascii="Verdana" w:hAnsi="Verdana"/>
          <w:bCs/>
          <w:color w:val="000000"/>
          <w:sz w:val="18"/>
          <w:szCs w:val="18"/>
        </w:rPr>
        <w:t xml:space="preserve"> sistemi (Eczanelerdeki sistem) uygulanmalıdır. Bu sistemde gübrenin hangi bayiye/bayide satılabileceği kontrol edilebilir. </w:t>
      </w:r>
    </w:p>
    <w:p w:rsidR="00C468EC" w:rsidRDefault="005601E8"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Gübre tüketimlerinin izlenmesi gerekmektedir. Bu konuda bakanlık bir çalışma yapmalıdır. Gerekirse diğer kuruluşlardan da katkı almalıdır.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Hammaddelerin ağır metal ve radyoaktivite içeriklerinin belirlenmesi için yasal düzenlemeler getirilmelidir. Kimyevi gübre mevzuatı Avrupa Birliği ortak mevzuatı olup, bu konuda AB Komisyonu tarafından yapılan çalışmalar Bakanlığımızca verilen katkılarla devam etmektedir. Getirilen yenilikler en kısa zamanda ülkemiz mevzuatına uyarlan</w:t>
      </w:r>
      <w:r w:rsidR="00FB5F60" w:rsidRPr="00C468EC">
        <w:rPr>
          <w:rFonts w:ascii="Verdana" w:hAnsi="Verdana"/>
          <w:sz w:val="18"/>
          <w:szCs w:val="18"/>
        </w:rPr>
        <w:t>malıdır</w:t>
      </w:r>
      <w:r w:rsidR="00C468EC">
        <w:rPr>
          <w:rFonts w:ascii="Verdana" w:hAnsi="Verdana"/>
          <w:sz w:val="18"/>
          <w:szCs w:val="18"/>
        </w:rPr>
        <w:t>.</w:t>
      </w:r>
    </w:p>
    <w:p w:rsidR="00C468EC" w:rsidRPr="00C468EC" w:rsidRDefault="00C64109" w:rsidP="00C468EC">
      <w:pPr>
        <w:pStyle w:val="ListeParagraf"/>
        <w:numPr>
          <w:ilvl w:val="0"/>
          <w:numId w:val="22"/>
        </w:numPr>
        <w:jc w:val="both"/>
        <w:rPr>
          <w:rFonts w:ascii="Verdana" w:hAnsi="Verdana"/>
          <w:bCs/>
          <w:color w:val="000000"/>
          <w:sz w:val="18"/>
          <w:szCs w:val="18"/>
        </w:rPr>
      </w:pPr>
      <w:proofErr w:type="spellStart"/>
      <w:r w:rsidRPr="00C468EC">
        <w:rPr>
          <w:rFonts w:ascii="Verdana" w:hAnsi="Verdana"/>
          <w:sz w:val="18"/>
          <w:szCs w:val="18"/>
        </w:rPr>
        <w:t>Mikrobiyal</w:t>
      </w:r>
      <w:proofErr w:type="spellEnd"/>
      <w:r w:rsidRPr="00C468EC">
        <w:rPr>
          <w:rFonts w:ascii="Verdana" w:hAnsi="Verdana"/>
          <w:sz w:val="18"/>
          <w:szCs w:val="18"/>
        </w:rPr>
        <w:t xml:space="preserve"> gübrelerin ithalatı daha sıkı denetim altına alınmalı, üretildiği ülkede gübre olarak kullanıldığına dair resmi belgesi olmayan gübrenin ithaline izin verilmemelidir. Ayrıca deneme yapılan coğrafi bölgenin dışında kullanılmamalıdır. Ancak </w:t>
      </w:r>
      <w:proofErr w:type="spellStart"/>
      <w:r w:rsidRPr="00C468EC">
        <w:rPr>
          <w:rFonts w:ascii="Verdana" w:hAnsi="Verdana"/>
          <w:sz w:val="18"/>
          <w:szCs w:val="18"/>
        </w:rPr>
        <w:t>mikrobiyal</w:t>
      </w:r>
      <w:proofErr w:type="spellEnd"/>
      <w:r w:rsidRPr="00C468EC">
        <w:rPr>
          <w:rFonts w:ascii="Verdana" w:hAnsi="Verdana"/>
          <w:sz w:val="18"/>
          <w:szCs w:val="18"/>
        </w:rPr>
        <w:t xml:space="preserve"> gübre ve gübrelemeye önem verilmeli ve bitkisel üretimde kullanımı teşvik edilmelidir.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Gübre üretici, ithalatçı veya satıcılarının Ziraat Mühendisi olma ya da kadrolu Ziraat Mühendisi çalıştırma zorunluluğu getirilmelidir.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eastAsiaTheme="minorEastAsia" w:hAnsi="Verdana"/>
          <w:sz w:val="18"/>
          <w:szCs w:val="18"/>
        </w:rPr>
        <w:t xml:space="preserve">BÜGEM tarafından yayınlanan yönetmelikte yer alan ve buna göre tescillenen ürünlerin gümrük nezdinde GTİP açıklaması ürünün gerçek içeriğinden çok farklı olmaktadır. Bu durum ithalatı yapan firmaların ağır cezai işleme maruz kalmasına sebep olmaktadır. Bu </w:t>
      </w:r>
      <w:r w:rsidRPr="00C468EC">
        <w:rPr>
          <w:rFonts w:ascii="Verdana" w:eastAsiaTheme="minorEastAsia" w:hAnsi="Verdana"/>
          <w:sz w:val="18"/>
          <w:szCs w:val="18"/>
        </w:rPr>
        <w:lastRenderedPageBreak/>
        <w:t>ciddi sorunun giderilmesi için Gıda Tarım ve Hayvancılık Bakanlığı ile Gümrük Bakanlığının ortak çalışma yaparak, ürünleri GTİP ile senkronize etmeleri</w:t>
      </w:r>
      <w:r w:rsidR="007967ED" w:rsidRPr="00C468EC">
        <w:rPr>
          <w:rFonts w:ascii="Verdana" w:eastAsiaTheme="minorEastAsia" w:hAnsi="Verdana"/>
          <w:sz w:val="18"/>
          <w:szCs w:val="18"/>
        </w:rPr>
        <w:t>yle</w:t>
      </w:r>
      <w:r w:rsidRPr="00C468EC">
        <w:rPr>
          <w:rFonts w:ascii="Verdana" w:eastAsiaTheme="minorEastAsia" w:hAnsi="Verdana"/>
          <w:sz w:val="18"/>
          <w:szCs w:val="18"/>
        </w:rPr>
        <w:t xml:space="preserve"> sektör rahatlat</w:t>
      </w:r>
      <w:r w:rsidR="007967ED" w:rsidRPr="00C468EC">
        <w:rPr>
          <w:rFonts w:ascii="Verdana" w:eastAsiaTheme="minorEastAsia" w:hAnsi="Verdana"/>
          <w:sz w:val="18"/>
          <w:szCs w:val="18"/>
        </w:rPr>
        <w:t>ılmalıdır</w:t>
      </w:r>
      <w:r w:rsidRPr="00C468EC">
        <w:rPr>
          <w:rFonts w:ascii="Verdana" w:eastAsiaTheme="minorEastAsia" w:hAnsi="Verdana"/>
          <w:sz w:val="18"/>
          <w:szCs w:val="18"/>
        </w:rPr>
        <w:t>.</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Bazı kimyevi gübre ürünlerinin EC </w:t>
      </w:r>
      <w:proofErr w:type="spellStart"/>
      <w:r w:rsidRPr="00C468EC">
        <w:rPr>
          <w:rFonts w:ascii="Verdana" w:hAnsi="Verdana"/>
          <w:sz w:val="18"/>
          <w:szCs w:val="18"/>
        </w:rPr>
        <w:t>Fertilizer</w:t>
      </w:r>
      <w:proofErr w:type="spellEnd"/>
      <w:r w:rsidRPr="00C468EC">
        <w:rPr>
          <w:rFonts w:ascii="Verdana" w:hAnsi="Verdana"/>
          <w:sz w:val="18"/>
          <w:szCs w:val="18"/>
        </w:rPr>
        <w:t xml:space="preserve"> kapsamında yer almaması nedeniyle ve Organik ve </w:t>
      </w:r>
      <w:proofErr w:type="spellStart"/>
      <w:r w:rsidRPr="00C468EC">
        <w:rPr>
          <w:rFonts w:ascii="Verdana" w:hAnsi="Verdana"/>
          <w:sz w:val="18"/>
          <w:szCs w:val="18"/>
        </w:rPr>
        <w:t>Organomineral</w:t>
      </w:r>
      <w:proofErr w:type="spellEnd"/>
      <w:r w:rsidRPr="00C468EC">
        <w:rPr>
          <w:rFonts w:ascii="Verdana" w:hAnsi="Verdana"/>
          <w:sz w:val="18"/>
          <w:szCs w:val="18"/>
        </w:rPr>
        <w:t xml:space="preserve"> Gübre yönetmeliğinin yeterli olmaması nedeniyle ulusal bir kimyevi ve organik gübre yönetmeliğine ihtiyaç vardır.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Fason üretimlerde, ambalaj üzerine gerçek üreticinin adı ve iletişim bilgileri mutlaka yazılma zorunluluğu getirilmelidir.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Organik, </w:t>
      </w:r>
      <w:proofErr w:type="spellStart"/>
      <w:r w:rsidRPr="00C468EC">
        <w:rPr>
          <w:rFonts w:ascii="Verdana" w:hAnsi="Verdana"/>
          <w:sz w:val="18"/>
          <w:szCs w:val="18"/>
        </w:rPr>
        <w:t>Organomineral</w:t>
      </w:r>
      <w:proofErr w:type="spellEnd"/>
      <w:r w:rsidRPr="00C468EC">
        <w:rPr>
          <w:rFonts w:ascii="Verdana" w:hAnsi="Verdana"/>
          <w:sz w:val="18"/>
          <w:szCs w:val="18"/>
        </w:rPr>
        <w:t xml:space="preserve"> Gübre ve Toprak Düzenleyici Ürünlerin ithalat izinlerinin, EC </w:t>
      </w:r>
      <w:proofErr w:type="spellStart"/>
      <w:r w:rsidRPr="00C468EC">
        <w:rPr>
          <w:rFonts w:ascii="Verdana" w:hAnsi="Verdana"/>
          <w:sz w:val="18"/>
          <w:szCs w:val="18"/>
        </w:rPr>
        <w:t>Fertilizerda</w:t>
      </w:r>
      <w:proofErr w:type="spellEnd"/>
      <w:r w:rsidRPr="00C468EC">
        <w:rPr>
          <w:rFonts w:ascii="Verdana" w:hAnsi="Verdana"/>
          <w:sz w:val="18"/>
          <w:szCs w:val="18"/>
        </w:rPr>
        <w:t xml:space="preserve"> olduğu gibi </w:t>
      </w:r>
      <w:r w:rsidRPr="00C468EC">
        <w:rPr>
          <w:rFonts w:ascii="Verdana" w:eastAsiaTheme="minorEastAsia" w:hAnsi="Verdana"/>
          <w:sz w:val="18"/>
          <w:szCs w:val="18"/>
        </w:rPr>
        <w:t>Gıda Tarım ve Hayvancılık</w:t>
      </w:r>
      <w:r w:rsidRPr="00C468EC">
        <w:rPr>
          <w:rFonts w:ascii="Verdana" w:hAnsi="Verdana"/>
          <w:sz w:val="18"/>
          <w:szCs w:val="18"/>
        </w:rPr>
        <w:t xml:space="preserve"> İl Müdürlükleri, bu mümkün değil ise en azından limanı olan illerdeki (Antalya, İzmir, İstanbul, Mersin, Bursa Samsun) İl tarım Müdürlükleri tarafından veril</w:t>
      </w:r>
      <w:r w:rsidR="00052C47" w:rsidRPr="00C468EC">
        <w:rPr>
          <w:rFonts w:ascii="Verdana" w:hAnsi="Verdana"/>
          <w:sz w:val="18"/>
          <w:szCs w:val="18"/>
        </w:rPr>
        <w:t>mesi de sağlanmalıdır</w:t>
      </w:r>
      <w:r w:rsidRPr="00C468EC">
        <w:rPr>
          <w:rFonts w:ascii="Verdana" w:hAnsi="Verdana"/>
          <w:sz w:val="18"/>
          <w:szCs w:val="18"/>
        </w:rPr>
        <w:t>.</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Bayilerde Onaylı Tescil ve Etiket Örneklerinin Bulunması: Türkiye de gübre satışı yapan her firmanın ortalama 60-70 ürünü ve yurt çapında 6.000 üzeri bayi olduğu gerçeği göz önünde bulundurulursa, her ürünün tescil ve etiketinin çoğaltılıp dağıtılması çok maliyetli ve kâğıt israfına sebep olmaktadır. İyi niyetli olmayan firmalar tescil ve etiketler üzerinde oynama yapılabilir. Her ürün tescil ve etiketinin onaylı sureti bakanlık tarafından, denetçiye teslim edilmelidir. Bu bakanlığın veri tabanında, sadece denetçinin şifresi ile giriş yapabileceği elektronik bir ortamda sağlanabilir.</w:t>
      </w:r>
      <w:r w:rsidRPr="00C468EC">
        <w:rPr>
          <w:rFonts w:ascii="Verdana" w:eastAsiaTheme="minorEastAsia" w:hAnsi="Verdana"/>
          <w:sz w:val="18"/>
          <w:szCs w:val="18"/>
        </w:rPr>
        <w:t xml:space="preserve"> </w:t>
      </w:r>
      <w:r w:rsidRPr="00C468EC">
        <w:rPr>
          <w:rFonts w:ascii="Verdana" w:hAnsi="Verdana"/>
          <w:sz w:val="18"/>
          <w:szCs w:val="18"/>
        </w:rPr>
        <w:t>Ürün tescil süreleri zirai ilaçta olduğu gibi 5 yıl yerine 10 yıl olmalıdır.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sz w:val="18"/>
          <w:szCs w:val="18"/>
        </w:rPr>
        <w:t xml:space="preserve">Gümrüğe gelen organik ve </w:t>
      </w:r>
      <w:proofErr w:type="spellStart"/>
      <w:r w:rsidRPr="00C468EC">
        <w:rPr>
          <w:rFonts w:ascii="Verdana" w:hAnsi="Verdana"/>
          <w:bCs/>
          <w:sz w:val="18"/>
          <w:szCs w:val="18"/>
        </w:rPr>
        <w:t>organomineral</w:t>
      </w:r>
      <w:proofErr w:type="spellEnd"/>
      <w:r w:rsidRPr="00C468EC">
        <w:rPr>
          <w:rFonts w:ascii="Verdana" w:hAnsi="Verdana"/>
          <w:bCs/>
          <w:sz w:val="18"/>
          <w:szCs w:val="18"/>
        </w:rPr>
        <w:t xml:space="preserve"> gübre ve toprak düzenleyicisi her ürün üretim tarihi ve parti-seri kod numarası aynı olsa bile TSE analizine tabidir. Her Partinin TSE Analizine Alınmasının Dezavantajı</w:t>
      </w:r>
      <w:r w:rsidRPr="00C468EC">
        <w:rPr>
          <w:rFonts w:ascii="Verdana" w:hAnsi="Verdana"/>
          <w:sz w:val="18"/>
          <w:szCs w:val="18"/>
        </w:rPr>
        <w:t>: 1-Yüksek Maliyet, 2-Ardiye, 3-Demuraj, 4-TSE Analizi. İyi niyetli olmayan firmalar az miktar ithal edip, burada üreterek satmaktadırlar.</w:t>
      </w:r>
      <w:r w:rsidRPr="00C468EC">
        <w:rPr>
          <w:rFonts w:ascii="Verdana" w:eastAsiaTheme="minorEastAsia" w:hAnsi="Verdana"/>
          <w:sz w:val="18"/>
          <w:szCs w:val="18"/>
        </w:rPr>
        <w:t xml:space="preserve"> </w:t>
      </w:r>
      <w:r w:rsidRPr="00C468EC">
        <w:rPr>
          <w:rFonts w:ascii="Verdana" w:hAnsi="Verdana"/>
          <w:sz w:val="18"/>
          <w:szCs w:val="18"/>
        </w:rPr>
        <w:t>Zirai ilaçta olduğu gibi analiz şartı kaldırılabilir. Yerine çok daha sıkı piyasa denetimi yapılabilir ve denetimde alınan örneklerin analiz bedelini firmalar karşılayabilir.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Gübrelerin denetim aşamasında karşılaşılan problemler: gübre konusunda faaliyet gösteren, sivil toplum kuruluşlarına göre, firmalar denetim yönetmeliğindeki toplatma cezasının caydırıcı olmadığı kanaatindeler: zira kötü niyetli üretim yapan firmaların piyasada yeteri kadar </w:t>
      </w:r>
      <w:proofErr w:type="gramStart"/>
      <w:r w:rsidRPr="00C468EC">
        <w:rPr>
          <w:rFonts w:ascii="Verdana" w:hAnsi="Verdana"/>
          <w:sz w:val="18"/>
          <w:szCs w:val="18"/>
        </w:rPr>
        <w:t>prestiji</w:t>
      </w:r>
      <w:proofErr w:type="gramEnd"/>
      <w:r w:rsidRPr="00C468EC">
        <w:rPr>
          <w:rFonts w:ascii="Verdana" w:hAnsi="Verdana"/>
          <w:sz w:val="18"/>
          <w:szCs w:val="18"/>
        </w:rPr>
        <w:t xml:space="preserve"> olmadığından bu ceza caydırıcı olmamaktadır. </w:t>
      </w:r>
      <w:r w:rsidRPr="00C468EC">
        <w:rPr>
          <w:rFonts w:ascii="Verdana" w:hAnsi="Verdana"/>
          <w:b/>
          <w:bCs/>
          <w:sz w:val="18"/>
          <w:szCs w:val="18"/>
        </w:rPr>
        <w:t>Çözüm; a-</w:t>
      </w:r>
      <w:proofErr w:type="gramStart"/>
      <w:r w:rsidR="008B1EAB" w:rsidRPr="00C468EC">
        <w:rPr>
          <w:rFonts w:ascii="Verdana" w:hAnsi="Verdana"/>
          <w:b/>
          <w:bCs/>
          <w:sz w:val="18"/>
          <w:szCs w:val="18"/>
        </w:rPr>
        <w:t>)</w:t>
      </w:r>
      <w:proofErr w:type="gramEnd"/>
      <w:r w:rsidR="008B1EAB" w:rsidRPr="00C468EC">
        <w:rPr>
          <w:rFonts w:ascii="Verdana" w:hAnsi="Verdana"/>
          <w:b/>
          <w:bCs/>
          <w:sz w:val="18"/>
          <w:szCs w:val="18"/>
        </w:rPr>
        <w:t xml:space="preserve"> </w:t>
      </w:r>
      <w:r w:rsidRPr="00C468EC">
        <w:rPr>
          <w:rFonts w:ascii="Verdana" w:hAnsi="Verdana"/>
          <w:sz w:val="18"/>
          <w:szCs w:val="18"/>
        </w:rPr>
        <w:t xml:space="preserve">denetimde içeriği eksik çıkan ürünler piyasadan toplatılırken isimlerinin yanında etiket değerleri ve bulunan eksik değerlerin de bayilere duyurulması. </w:t>
      </w:r>
      <w:r w:rsidR="00917338" w:rsidRPr="00C468EC">
        <w:rPr>
          <w:rFonts w:ascii="Verdana" w:hAnsi="Verdana"/>
          <w:b/>
          <w:bCs/>
          <w:sz w:val="18"/>
          <w:szCs w:val="18"/>
        </w:rPr>
        <w:t>b</w:t>
      </w:r>
      <w:r w:rsidRPr="00C468EC">
        <w:rPr>
          <w:rFonts w:ascii="Verdana" w:hAnsi="Verdana"/>
          <w:b/>
          <w:bCs/>
          <w:sz w:val="18"/>
          <w:szCs w:val="18"/>
        </w:rPr>
        <w:t>-</w:t>
      </w:r>
      <w:r w:rsidR="008B1EAB" w:rsidRPr="00C468EC">
        <w:rPr>
          <w:rFonts w:ascii="Verdana" w:hAnsi="Verdana"/>
          <w:b/>
          <w:bCs/>
          <w:sz w:val="18"/>
          <w:szCs w:val="18"/>
        </w:rPr>
        <w:t xml:space="preserve">) </w:t>
      </w:r>
      <w:r w:rsidRPr="00C468EC">
        <w:rPr>
          <w:rFonts w:ascii="Verdana" w:hAnsi="Verdana"/>
          <w:sz w:val="18"/>
          <w:szCs w:val="18"/>
        </w:rPr>
        <w:t>tolerans haricindeki</w:t>
      </w:r>
      <w:r w:rsidRPr="00C468EC">
        <w:rPr>
          <w:rFonts w:ascii="Verdana" w:hAnsi="Verdana"/>
          <w:b/>
          <w:bCs/>
          <w:sz w:val="18"/>
          <w:szCs w:val="18"/>
        </w:rPr>
        <w:t xml:space="preserve"> ciddi</w:t>
      </w:r>
      <w:r w:rsidRPr="00C468EC">
        <w:rPr>
          <w:rFonts w:ascii="Verdana" w:hAnsi="Verdana"/>
          <w:sz w:val="18"/>
          <w:szCs w:val="18"/>
        </w:rPr>
        <w:t xml:space="preserve"> oranda eksik çıkan ürünlere toplatmasının yanında para cezasının uygulanması ve aynı ürünün tekrar eksik çıkması durumlarında, para cezası arttırılarak uygulanmalıdır</w:t>
      </w:r>
      <w:r w:rsidRPr="00C468EC">
        <w:rPr>
          <w:rFonts w:ascii="Verdana" w:hAnsi="Verdana"/>
          <w:b/>
          <w:bCs/>
          <w:sz w:val="18"/>
          <w:szCs w:val="18"/>
        </w:rPr>
        <w:t>.</w:t>
      </w:r>
      <w:r w:rsidRPr="00C468EC">
        <w:rPr>
          <w:rFonts w:ascii="Verdana" w:hAnsi="Verdana"/>
          <w:sz w:val="18"/>
          <w:szCs w:val="18"/>
        </w:rPr>
        <w:t xml:space="preserve"> Ayrıca 3 defadan fazla eksik değeri çıkan ürünün tescil belgesinin iptal edilmelidir.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Sektörün tanınmış markalarının torbalarına gübre dışı maddelerin konularak yapılan satışların engellenmesi için gerekli yasal düzenleme yapılmalıdır.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Hayvansal kaynaklı gübrelerin; sağlık parametrelerinin Gıda ve Kontrol Genel Müdürlüğü tarafından denetlenerek gerekli izinlerin verilmesi, söz konusu olan ürünlerin gübre olarak tescillendirilmesi ve piyasa denetimlerinin Bitkisel Üretim Genel Müdürlüğü tarafından yapılması ile ilgili düzenlemelerinin Hayvansal Yan Ürünler Yönetmeliğine eklenerek, adı geçen yönetmeliğin bu şekilde değiştirilmesi uygun olacaktır.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Gıda Tarım ve Hayvancılık Bakanlığı ve Bakanlığa bağlı kurumlar, Ziraat Fakülteleri ve gübre sektörü arasında organik </w:t>
      </w:r>
      <w:r w:rsidR="00CD6BDD" w:rsidRPr="00C468EC">
        <w:rPr>
          <w:rFonts w:ascii="Verdana" w:hAnsi="Verdana"/>
          <w:sz w:val="18"/>
          <w:szCs w:val="18"/>
        </w:rPr>
        <w:t xml:space="preserve">yasal </w:t>
      </w:r>
      <w:r w:rsidRPr="00C468EC">
        <w:rPr>
          <w:rFonts w:ascii="Verdana" w:hAnsi="Verdana"/>
          <w:sz w:val="18"/>
          <w:szCs w:val="18"/>
        </w:rPr>
        <w:t xml:space="preserve">bağ </w:t>
      </w:r>
      <w:r w:rsidR="00CD6BDD" w:rsidRPr="00C468EC">
        <w:rPr>
          <w:rFonts w:ascii="Verdana" w:hAnsi="Verdana"/>
          <w:sz w:val="18"/>
          <w:szCs w:val="18"/>
        </w:rPr>
        <w:t xml:space="preserve">oluşturularak </w:t>
      </w:r>
      <w:r w:rsidRPr="00C468EC">
        <w:rPr>
          <w:rFonts w:ascii="Verdana" w:hAnsi="Verdana"/>
          <w:sz w:val="18"/>
          <w:szCs w:val="18"/>
        </w:rPr>
        <w:t>güçlendirilmelidir. Sektör, sorunları AR-GE yapan kurumlara iletmeli ve bu projelere destek vermelidir.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Ahır gübresi, yeşil gübre ve kompost kullanımının yaygınlaştırılması teşvik edilmelidir.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Gübrelerin etkinliği bakımından uygulama yöntemleri önemlidir. Bu nedenle ekim ve gübreleme makinelerinin geliştirilmesi sağlanmalıdır.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Gübre tavsiyelerinde </w:t>
      </w:r>
      <w:r w:rsidRPr="00C468EC">
        <w:rPr>
          <w:rFonts w:ascii="Verdana" w:hAnsi="Verdana"/>
          <w:bCs/>
          <w:color w:val="000000"/>
          <w:sz w:val="18"/>
          <w:szCs w:val="18"/>
        </w:rPr>
        <w:t>yeterlilik/</w:t>
      </w:r>
      <w:proofErr w:type="spellStart"/>
      <w:r w:rsidRPr="00C468EC">
        <w:rPr>
          <w:rFonts w:ascii="Verdana" w:hAnsi="Verdana"/>
          <w:bCs/>
          <w:color w:val="000000"/>
          <w:sz w:val="18"/>
          <w:szCs w:val="18"/>
        </w:rPr>
        <w:t>toksitite</w:t>
      </w:r>
      <w:proofErr w:type="spellEnd"/>
      <w:r w:rsidRPr="00C468EC">
        <w:rPr>
          <w:rFonts w:ascii="Verdana" w:hAnsi="Verdana"/>
          <w:bCs/>
          <w:color w:val="000000"/>
          <w:sz w:val="18"/>
          <w:szCs w:val="18"/>
        </w:rPr>
        <w:t xml:space="preserve"> </w:t>
      </w:r>
      <w:r w:rsidRPr="00C468EC">
        <w:rPr>
          <w:rFonts w:ascii="Verdana" w:hAnsi="Verdana"/>
          <w:sz w:val="18"/>
          <w:szCs w:val="18"/>
        </w:rPr>
        <w:t xml:space="preserve">oranlarına (dengelerine) dikkat edilmelidir. </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Bu kongrede olduğu gibi bundan sonra yapılacak bütün kongrelerde Bakanlık ve özel sektörden ilgililerin katılımı sağlanmalıdır.</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 xml:space="preserve">Üniversiteler ve Araştırma Enstitülerince yapılan ve sonuçlandırılan, bitki besleme ve gübreleme ile ilgili araştırma sonuçları ve pratik uygulamalar broşür, el kitabı veya liflet şeklinde hazırlanmalı ve süreli olarak İl Müdürlüklerinin ilgili şubelerine ulaştırılmalıdır. </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Gıda Tarım ve Hayvancılık</w:t>
      </w:r>
      <w:r w:rsidRPr="00C468EC">
        <w:rPr>
          <w:rFonts w:ascii="Verdana" w:hAnsi="Verdana"/>
          <w:bCs/>
          <w:color w:val="000000"/>
          <w:sz w:val="18"/>
          <w:szCs w:val="18"/>
        </w:rPr>
        <w:t xml:space="preserve"> Bakanlığı tarafından bir ulusal tarımsal üretim planlaması yapılması gerekmektedir.</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 xml:space="preserve">Araştırma Enstitüleri, Üniversiteler olarak Ülkemiz ihtiyaçları doğrultusunda daha yeni ürünler (kaplama gübreler, yavaş çözünür gübreler, </w:t>
      </w:r>
      <w:proofErr w:type="spellStart"/>
      <w:r w:rsidRPr="00C468EC">
        <w:rPr>
          <w:rFonts w:ascii="Verdana" w:hAnsi="Verdana"/>
          <w:bCs/>
          <w:color w:val="000000"/>
          <w:sz w:val="18"/>
          <w:szCs w:val="18"/>
        </w:rPr>
        <w:t>şelatlı</w:t>
      </w:r>
      <w:proofErr w:type="spellEnd"/>
      <w:r w:rsidRPr="00C468EC">
        <w:rPr>
          <w:rFonts w:ascii="Verdana" w:hAnsi="Verdana"/>
          <w:bCs/>
          <w:color w:val="000000"/>
          <w:sz w:val="18"/>
          <w:szCs w:val="18"/>
        </w:rPr>
        <w:t xml:space="preserve"> gübreler vb.) ile ilgili çalışmaların/denemelerin yapılması gerekmektedir.</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 xml:space="preserve">Özel sektörden üniversitelere kaynak akışı yetersiz veya genellikle de hiç olmuyor. Üniversitelere ve araştırma enstitülerince kurulacak denemeler/çalışmalar desteklenmelidir. </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Bakanlık ile üniversiteler arasında daha yakın ilişkiler kurulmalıdır.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Ziraat fakültesinin olmadığı yerlerde de bitki besleme ve gübreleme çalışmalarının ya da denemelerinin yapılması gerekir.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lastRenderedPageBreak/>
        <w:t>Sektörün, üniversitelerin Ziraat bölümleri ve Araştırma Enstitüleri ile aralarındaki iletişim daha fazla güçlendirilmelidir.</w:t>
      </w:r>
      <w:r w:rsidR="006476C4" w:rsidRPr="00C468EC">
        <w:rPr>
          <w:rFonts w:ascii="Verdana" w:hAnsi="Verdana"/>
          <w:color w:val="FF0000"/>
          <w:sz w:val="18"/>
          <w:szCs w:val="18"/>
        </w:rPr>
        <w:t xml:space="preserve"> </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Araştırma projeleri, bölgesel sorunlara yönelik planlanmalıdır. Özel sektör ile araştırmacıların işbirliği içinde çalışması durumunda yöresel sorunların çözülmesine yönelik daha sağlıklı projeler üretilecektir.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 xml:space="preserve">Gübre tavsiyelerinde </w:t>
      </w:r>
      <w:proofErr w:type="spellStart"/>
      <w:r w:rsidRPr="00C468EC">
        <w:rPr>
          <w:rFonts w:ascii="Verdana" w:hAnsi="Verdana"/>
          <w:sz w:val="18"/>
          <w:szCs w:val="18"/>
        </w:rPr>
        <w:t>Ca</w:t>
      </w:r>
      <w:proofErr w:type="spellEnd"/>
      <w:r w:rsidRPr="00C468EC">
        <w:rPr>
          <w:rFonts w:ascii="Verdana" w:hAnsi="Verdana"/>
          <w:sz w:val="18"/>
          <w:szCs w:val="18"/>
        </w:rPr>
        <w:t xml:space="preserve">-Mg-K oranlarına/dengelerine dikkat edilmelidir. </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 xml:space="preserve">Toprak verimliliği ve gübrelemeye yönelik, toprak haritalarının güncellenmesi gerekmektedir. </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 xml:space="preserve">Tarım topraklarının amaç dışı kullanımının önüne geçecek önlemler alınmalıdır. </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Kontrolsüz gübre kullanımı sonucu toprakların, yeraltı ve yerüstü sularının ve atmosferin kirlenmesinin önlenmesi için gerekli önlemlerin alınması gerekmektedir.</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Arazi kullanım kabiliyeti konusunda çalışmalarının yapılması gerekmektedir.</w:t>
      </w:r>
    </w:p>
    <w:p w:rsid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İyi tarım uygulamaları içinde kalmak koşulu içinde organo minerallerle ilgili çalışmalar yapılmalıdır. Kimyasal-organik çalışmaları azaltılmalıdır.</w:t>
      </w:r>
    </w:p>
    <w:p w:rsidR="00C468EC" w:rsidRPr="00C468EC" w:rsidRDefault="00C64109"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Gübrelerin klor içeriği ile ilgili çalışmalarda yapılmalıdır.</w:t>
      </w:r>
    </w:p>
    <w:p w:rsidR="00C468EC" w:rsidRPr="00C468EC" w:rsidRDefault="00C55438"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Gıda Tarım ve Hayvancılık Bakanlığı’nca toprak analizine verilen destek nedeniyle çiftçilerce yaptırılan toprak analiz sayısı artmıştır. Buna bağlı olarak Toprak, Yaprak, Su ve Gübre Analizi Laboratu</w:t>
      </w:r>
      <w:r w:rsidR="00B6009E" w:rsidRPr="00C468EC">
        <w:rPr>
          <w:rFonts w:ascii="Verdana" w:hAnsi="Verdana"/>
          <w:sz w:val="18"/>
          <w:szCs w:val="18"/>
        </w:rPr>
        <w:t>v</w:t>
      </w:r>
      <w:r w:rsidRPr="00C468EC">
        <w:rPr>
          <w:rFonts w:ascii="Verdana" w:hAnsi="Verdana"/>
          <w:sz w:val="18"/>
          <w:szCs w:val="18"/>
        </w:rPr>
        <w:t>arlarının ülke genelindeki sayısı artmaktadır. Bu bağlamda satın alınmış pahalı aletlerin ve kimyasalların etkin bir şekilde kullanımı sağlanmalı ve yeni laboratu</w:t>
      </w:r>
      <w:r w:rsidR="00B6009E" w:rsidRPr="00C468EC">
        <w:rPr>
          <w:rFonts w:ascii="Verdana" w:hAnsi="Verdana"/>
          <w:sz w:val="18"/>
          <w:szCs w:val="18"/>
        </w:rPr>
        <w:t>v</w:t>
      </w:r>
      <w:r w:rsidRPr="00C468EC">
        <w:rPr>
          <w:rFonts w:ascii="Verdana" w:hAnsi="Verdana"/>
          <w:sz w:val="18"/>
          <w:szCs w:val="18"/>
        </w:rPr>
        <w:t>arların açılması sürecinde gereksinimler ve laboratu</w:t>
      </w:r>
      <w:r w:rsidR="00B6009E" w:rsidRPr="00C468EC">
        <w:rPr>
          <w:rFonts w:ascii="Verdana" w:hAnsi="Verdana"/>
          <w:sz w:val="18"/>
          <w:szCs w:val="18"/>
        </w:rPr>
        <w:t>v</w:t>
      </w:r>
      <w:r w:rsidRPr="00C468EC">
        <w:rPr>
          <w:rFonts w:ascii="Verdana" w:hAnsi="Verdana"/>
          <w:sz w:val="18"/>
          <w:szCs w:val="18"/>
        </w:rPr>
        <w:t>arların verimli çalıştırılabilme olanakları dikkate alınmalıdır. Toprak analizlerinin amacına ulaşabilmesi açısında örnek alımı, analizler ve analize dayalı gübre uygulama safhalarında eğitim ve kontroller arttırılmalıdır. Yaprak analizleri ve mikro element analizleri de gübrelemede önemlidir. Bu analizlerinde destek kapsamında özellikle bazı ürünlerde değerlendirilmesi için çalışmalar yapılmalıdır</w:t>
      </w:r>
    </w:p>
    <w:p w:rsidR="00C468EC" w:rsidRDefault="00AC2FFE"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Bundan sonra düzenlenecek kongrelerde çiftçilere yönelik anlaşılır biçimde ve söyleşi havası içinde bir oturum düzenlenmelidir.</w:t>
      </w:r>
    </w:p>
    <w:p w:rsidR="00C468EC" w:rsidRPr="00C468EC" w:rsidRDefault="00AC2FFE"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Gübre önerisi yapmak için kullanılan veriler çok eski olduğundan bu bilgilerin hızlı bir şekilde güncellenmelidir.</w:t>
      </w:r>
      <w:r w:rsidR="006776BC" w:rsidRPr="00C468EC">
        <w:rPr>
          <w:rFonts w:ascii="Verdana" w:hAnsi="Verdana"/>
          <w:sz w:val="18"/>
          <w:szCs w:val="18"/>
        </w:rPr>
        <w:t xml:space="preserve"> </w:t>
      </w:r>
    </w:p>
    <w:p w:rsidR="00C468EC" w:rsidRPr="00C468EC" w:rsidRDefault="006776BC"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Toprak, yaprak ve gübre analiz laboratuvarları</w:t>
      </w:r>
      <w:r w:rsidR="007A4EA0" w:rsidRPr="00C468EC">
        <w:rPr>
          <w:rFonts w:ascii="Verdana" w:hAnsi="Verdana"/>
          <w:sz w:val="18"/>
          <w:szCs w:val="18"/>
        </w:rPr>
        <w:t>nın</w:t>
      </w:r>
      <w:r w:rsidRPr="00C468EC">
        <w:rPr>
          <w:rFonts w:ascii="Verdana" w:hAnsi="Verdana"/>
          <w:sz w:val="18"/>
          <w:szCs w:val="18"/>
        </w:rPr>
        <w:t xml:space="preserve"> daha etkin çalışması ve denetlenmesi sağlanmalıdır. Bu amaçla Gıda Tarım ve Hayvancılık Bakanlığı bünyesinde ve/veya illerde bütün tarafların yer alacağı laboratu</w:t>
      </w:r>
      <w:r w:rsidR="007A4EA0" w:rsidRPr="00C468EC">
        <w:rPr>
          <w:rFonts w:ascii="Verdana" w:hAnsi="Verdana"/>
          <w:sz w:val="18"/>
          <w:szCs w:val="18"/>
        </w:rPr>
        <w:t>v</w:t>
      </w:r>
      <w:r w:rsidRPr="00C468EC">
        <w:rPr>
          <w:rFonts w:ascii="Verdana" w:hAnsi="Verdana"/>
          <w:sz w:val="18"/>
          <w:szCs w:val="18"/>
        </w:rPr>
        <w:t>arlar kurulu kurulmalıdır.</w:t>
      </w:r>
    </w:p>
    <w:p w:rsidR="00C468EC" w:rsidRPr="00C468EC" w:rsidRDefault="00AC2FFE"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Kongrelere genç araştırmacıların ve araştırma görevlilerinin daha fazla katılımlarının sağlanması için maddi önlemlerin alınması gerekmektedir.</w:t>
      </w:r>
    </w:p>
    <w:p w:rsidR="00C468EC" w:rsidRPr="00C468EC" w:rsidRDefault="00AC2FFE" w:rsidP="00C468EC">
      <w:pPr>
        <w:pStyle w:val="ListeParagraf"/>
        <w:numPr>
          <w:ilvl w:val="0"/>
          <w:numId w:val="22"/>
        </w:numPr>
        <w:jc w:val="both"/>
        <w:rPr>
          <w:rFonts w:ascii="Verdana" w:hAnsi="Verdana"/>
          <w:bCs/>
          <w:color w:val="000000"/>
          <w:sz w:val="18"/>
          <w:szCs w:val="18"/>
        </w:rPr>
      </w:pPr>
      <w:r w:rsidRPr="00C468EC">
        <w:rPr>
          <w:rFonts w:ascii="Verdana" w:hAnsi="Verdana"/>
          <w:sz w:val="18"/>
          <w:szCs w:val="18"/>
        </w:rPr>
        <w:t>Kongrelere gübre bayilerinin veya onların yanında çalışan ziraat mühendislerinin katılması gerekir. Çünkü bayinin elinde bulunan değil, çiftçinin istediği gübrenin kullanılması gerekmektedir.</w:t>
      </w:r>
    </w:p>
    <w:p w:rsidR="00C468EC" w:rsidRDefault="007253C2"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Yapılan çalışmalar kitaplarda kalmamalı pratiğe aktarılmasını sağlayacak önlemler alınmalıdır.</w:t>
      </w:r>
    </w:p>
    <w:p w:rsidR="0030291A" w:rsidRPr="00C468EC" w:rsidRDefault="0030291A" w:rsidP="00C468EC">
      <w:pPr>
        <w:pStyle w:val="ListeParagraf"/>
        <w:numPr>
          <w:ilvl w:val="0"/>
          <w:numId w:val="22"/>
        </w:numPr>
        <w:jc w:val="both"/>
        <w:rPr>
          <w:rFonts w:ascii="Verdana" w:hAnsi="Verdana"/>
          <w:bCs/>
          <w:color w:val="000000"/>
          <w:sz w:val="18"/>
          <w:szCs w:val="18"/>
        </w:rPr>
      </w:pPr>
      <w:r w:rsidRPr="00C468EC">
        <w:rPr>
          <w:rFonts w:ascii="Verdana" w:hAnsi="Verdana"/>
          <w:bCs/>
          <w:color w:val="000000"/>
          <w:sz w:val="18"/>
          <w:szCs w:val="18"/>
        </w:rPr>
        <w:t>Talep üzerine, bir sonraki kongrenin (</w:t>
      </w:r>
      <w:r w:rsidRPr="00C468EC">
        <w:rPr>
          <w:rFonts w:ascii="Verdana" w:hAnsi="Verdana"/>
          <w:sz w:val="18"/>
          <w:szCs w:val="18"/>
        </w:rPr>
        <w:t>7. Ulusal Bitki Besleme ve Gübre Kongresi)</w:t>
      </w:r>
      <w:r w:rsidRPr="00C468EC">
        <w:rPr>
          <w:rFonts w:ascii="Verdana" w:hAnsi="Verdana"/>
          <w:bCs/>
          <w:color w:val="000000"/>
          <w:sz w:val="18"/>
          <w:szCs w:val="18"/>
        </w:rPr>
        <w:t>, 2016 yılında Çukurova Üniversitesi tarafından düzenlenmesine karar verilmiştir.</w:t>
      </w:r>
    </w:p>
    <w:p w:rsidR="007253C2" w:rsidRPr="00880272" w:rsidRDefault="007253C2" w:rsidP="009854D3">
      <w:pPr>
        <w:pStyle w:val="ListeParagraf"/>
        <w:ind w:left="371"/>
        <w:jc w:val="both"/>
        <w:rPr>
          <w:rFonts w:ascii="Verdana" w:hAnsi="Verdana"/>
          <w:sz w:val="18"/>
          <w:szCs w:val="18"/>
        </w:rPr>
      </w:pPr>
    </w:p>
    <w:p w:rsidR="007253C2" w:rsidRPr="00880272" w:rsidRDefault="007253C2" w:rsidP="009854D3">
      <w:pPr>
        <w:pStyle w:val="NormalWeb"/>
        <w:spacing w:before="0" w:beforeAutospacing="0" w:after="0" w:afterAutospacing="0"/>
        <w:ind w:left="720"/>
        <w:jc w:val="both"/>
        <w:textAlignment w:val="baseline"/>
        <w:rPr>
          <w:rFonts w:ascii="Verdana" w:hAnsi="Verdana"/>
          <w:bCs/>
          <w:color w:val="000000"/>
          <w:sz w:val="18"/>
          <w:szCs w:val="18"/>
        </w:rPr>
      </w:pPr>
    </w:p>
    <w:p w:rsidR="0030291A" w:rsidRPr="00880272" w:rsidRDefault="0030291A" w:rsidP="00BD54E2">
      <w:pPr>
        <w:pStyle w:val="ListeParagraf"/>
        <w:ind w:left="644"/>
        <w:jc w:val="both"/>
        <w:rPr>
          <w:rFonts w:ascii="Verdana" w:hAnsi="Verdana"/>
          <w:color w:val="FF0000"/>
          <w:sz w:val="18"/>
          <w:szCs w:val="18"/>
        </w:rPr>
      </w:pPr>
    </w:p>
    <w:p w:rsidR="0030291A" w:rsidRPr="00880272" w:rsidRDefault="0030291A" w:rsidP="00466FA2">
      <w:pPr>
        <w:pStyle w:val="NormalWeb"/>
        <w:spacing w:before="134" w:beforeAutospacing="0" w:after="0" w:afterAutospacing="0"/>
        <w:jc w:val="both"/>
        <w:textAlignment w:val="baseline"/>
        <w:rPr>
          <w:rFonts w:ascii="Verdana" w:hAnsi="Verdana"/>
          <w:sz w:val="18"/>
          <w:szCs w:val="18"/>
        </w:rPr>
      </w:pPr>
    </w:p>
    <w:sectPr w:rsidR="0030291A" w:rsidRPr="00880272" w:rsidSect="0046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8B8"/>
    <w:multiLevelType w:val="hybridMultilevel"/>
    <w:tmpl w:val="3DF085D4"/>
    <w:lvl w:ilvl="0" w:tplc="58D43A6A">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F2DB7"/>
    <w:multiLevelType w:val="hybridMultilevel"/>
    <w:tmpl w:val="05A047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00823"/>
    <w:multiLevelType w:val="hybridMultilevel"/>
    <w:tmpl w:val="2BDE5B34"/>
    <w:lvl w:ilvl="0" w:tplc="2E6C3C0A">
      <w:start w:val="1"/>
      <w:numFmt w:val="decimal"/>
      <w:lvlText w:val="%1-"/>
      <w:lvlJc w:val="left"/>
      <w:pPr>
        <w:ind w:left="360" w:hanging="360"/>
      </w:pPr>
      <w:rPr>
        <w:rFonts w:hint="default"/>
      </w:rPr>
    </w:lvl>
    <w:lvl w:ilvl="1" w:tplc="041F000F">
      <w:start w:val="1"/>
      <w:numFmt w:val="decimal"/>
      <w:lvlText w:val="%2."/>
      <w:lvlJc w:val="left"/>
      <w:pPr>
        <w:ind w:left="644"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6FC65D7"/>
    <w:multiLevelType w:val="hybridMultilevel"/>
    <w:tmpl w:val="020E1B9C"/>
    <w:lvl w:ilvl="0" w:tplc="B138525C">
      <w:start w:val="1"/>
      <w:numFmt w:val="decimal"/>
      <w:lvlText w:val="%1-"/>
      <w:lvlJc w:val="left"/>
      <w:pPr>
        <w:ind w:left="644" w:hanging="360"/>
      </w:pPr>
      <w:rPr>
        <w:rFonts w:hint="default"/>
        <w:color w:val="auto"/>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nsid w:val="177B0020"/>
    <w:multiLevelType w:val="hybridMultilevel"/>
    <w:tmpl w:val="FE467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CC754F"/>
    <w:multiLevelType w:val="hybridMultilevel"/>
    <w:tmpl w:val="745A188C"/>
    <w:lvl w:ilvl="0" w:tplc="367A7410">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2F1F00"/>
    <w:multiLevelType w:val="hybridMultilevel"/>
    <w:tmpl w:val="A6E083A6"/>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7">
    <w:nsid w:val="234E290F"/>
    <w:multiLevelType w:val="hybridMultilevel"/>
    <w:tmpl w:val="DB9699D6"/>
    <w:lvl w:ilvl="0" w:tplc="2E6C3C0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900A25"/>
    <w:multiLevelType w:val="hybridMultilevel"/>
    <w:tmpl w:val="CDF498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0A0E5E"/>
    <w:multiLevelType w:val="hybridMultilevel"/>
    <w:tmpl w:val="A594C16C"/>
    <w:lvl w:ilvl="0" w:tplc="2E6C3C0A">
      <w:start w:val="1"/>
      <w:numFmt w:val="decimal"/>
      <w:lvlText w:val="%1-"/>
      <w:lvlJc w:val="left"/>
      <w:pPr>
        <w:ind w:left="644"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0">
    <w:nsid w:val="345E25E0"/>
    <w:multiLevelType w:val="hybridMultilevel"/>
    <w:tmpl w:val="935EE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62511F"/>
    <w:multiLevelType w:val="hybridMultilevel"/>
    <w:tmpl w:val="CFC69EB8"/>
    <w:lvl w:ilvl="0" w:tplc="2E6C3C0A">
      <w:start w:val="1"/>
      <w:numFmt w:val="decimal"/>
      <w:lvlText w:val="%1-"/>
      <w:lvlJc w:val="left"/>
      <w:pPr>
        <w:ind w:left="121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1A5D8A"/>
    <w:multiLevelType w:val="hybridMultilevel"/>
    <w:tmpl w:val="A594C16C"/>
    <w:lvl w:ilvl="0" w:tplc="2E6C3C0A">
      <w:start w:val="1"/>
      <w:numFmt w:val="decimal"/>
      <w:lvlText w:val="%1-"/>
      <w:lvlJc w:val="left"/>
      <w:pPr>
        <w:ind w:left="644"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3">
    <w:nsid w:val="35DD2F47"/>
    <w:multiLevelType w:val="hybridMultilevel"/>
    <w:tmpl w:val="FAECF496"/>
    <w:lvl w:ilvl="0" w:tplc="2E6C3C0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159230D"/>
    <w:multiLevelType w:val="hybridMultilevel"/>
    <w:tmpl w:val="E604E6FA"/>
    <w:lvl w:ilvl="0" w:tplc="2E6C3C0A">
      <w:start w:val="1"/>
      <w:numFmt w:val="decimal"/>
      <w:lvlText w:val="%1-"/>
      <w:lvlJc w:val="left"/>
      <w:pPr>
        <w:ind w:left="644"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5">
    <w:nsid w:val="46881579"/>
    <w:multiLevelType w:val="hybridMultilevel"/>
    <w:tmpl w:val="DD08186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6">
    <w:nsid w:val="523E58D8"/>
    <w:multiLevelType w:val="hybridMultilevel"/>
    <w:tmpl w:val="613235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4977B36"/>
    <w:multiLevelType w:val="hybridMultilevel"/>
    <w:tmpl w:val="36DAC86E"/>
    <w:lvl w:ilvl="0" w:tplc="041F000F">
      <w:start w:val="1"/>
      <w:numFmt w:val="decimal"/>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6E170C"/>
    <w:multiLevelType w:val="hybridMultilevel"/>
    <w:tmpl w:val="30EE91A8"/>
    <w:lvl w:ilvl="0" w:tplc="A06CD9A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63201085"/>
    <w:multiLevelType w:val="hybridMultilevel"/>
    <w:tmpl w:val="A594C16C"/>
    <w:lvl w:ilvl="0" w:tplc="2E6C3C0A">
      <w:start w:val="1"/>
      <w:numFmt w:val="decimal"/>
      <w:lvlText w:val="%1-"/>
      <w:lvlJc w:val="left"/>
      <w:pPr>
        <w:ind w:left="644" w:hanging="360"/>
      </w:pPr>
      <w:rPr>
        <w:rFonts w:hint="default"/>
      </w:rPr>
    </w:lvl>
    <w:lvl w:ilvl="1" w:tplc="041F0019" w:tentative="1">
      <w:start w:val="1"/>
      <w:numFmt w:val="lowerLetter"/>
      <w:lvlText w:val="%2."/>
      <w:lvlJc w:val="left"/>
      <w:pPr>
        <w:ind w:left="306" w:hanging="360"/>
      </w:pPr>
    </w:lvl>
    <w:lvl w:ilvl="2" w:tplc="041F001B" w:tentative="1">
      <w:start w:val="1"/>
      <w:numFmt w:val="lowerRoman"/>
      <w:lvlText w:val="%3."/>
      <w:lvlJc w:val="right"/>
      <w:pPr>
        <w:ind w:left="1026" w:hanging="180"/>
      </w:pPr>
    </w:lvl>
    <w:lvl w:ilvl="3" w:tplc="041F000F" w:tentative="1">
      <w:start w:val="1"/>
      <w:numFmt w:val="decimal"/>
      <w:lvlText w:val="%4."/>
      <w:lvlJc w:val="left"/>
      <w:pPr>
        <w:ind w:left="1746" w:hanging="360"/>
      </w:pPr>
    </w:lvl>
    <w:lvl w:ilvl="4" w:tplc="041F0019" w:tentative="1">
      <w:start w:val="1"/>
      <w:numFmt w:val="lowerLetter"/>
      <w:lvlText w:val="%5."/>
      <w:lvlJc w:val="left"/>
      <w:pPr>
        <w:ind w:left="2466" w:hanging="360"/>
      </w:pPr>
    </w:lvl>
    <w:lvl w:ilvl="5" w:tplc="041F001B" w:tentative="1">
      <w:start w:val="1"/>
      <w:numFmt w:val="lowerRoman"/>
      <w:lvlText w:val="%6."/>
      <w:lvlJc w:val="right"/>
      <w:pPr>
        <w:ind w:left="3186" w:hanging="180"/>
      </w:pPr>
    </w:lvl>
    <w:lvl w:ilvl="6" w:tplc="041F000F" w:tentative="1">
      <w:start w:val="1"/>
      <w:numFmt w:val="decimal"/>
      <w:lvlText w:val="%7."/>
      <w:lvlJc w:val="left"/>
      <w:pPr>
        <w:ind w:left="3906" w:hanging="360"/>
      </w:pPr>
    </w:lvl>
    <w:lvl w:ilvl="7" w:tplc="041F0019" w:tentative="1">
      <w:start w:val="1"/>
      <w:numFmt w:val="lowerLetter"/>
      <w:lvlText w:val="%8."/>
      <w:lvlJc w:val="left"/>
      <w:pPr>
        <w:ind w:left="4626" w:hanging="360"/>
      </w:pPr>
    </w:lvl>
    <w:lvl w:ilvl="8" w:tplc="041F001B" w:tentative="1">
      <w:start w:val="1"/>
      <w:numFmt w:val="lowerRoman"/>
      <w:lvlText w:val="%9."/>
      <w:lvlJc w:val="right"/>
      <w:pPr>
        <w:ind w:left="5346" w:hanging="180"/>
      </w:pPr>
    </w:lvl>
  </w:abstractNum>
  <w:abstractNum w:abstractNumId="20">
    <w:nsid w:val="66836990"/>
    <w:multiLevelType w:val="hybridMultilevel"/>
    <w:tmpl w:val="3DD4447A"/>
    <w:lvl w:ilvl="0" w:tplc="2F9011D4">
      <w:start w:val="1"/>
      <w:numFmt w:val="decimal"/>
      <w:lvlText w:val="%1."/>
      <w:lvlJc w:val="left"/>
      <w:pPr>
        <w:ind w:left="720" w:hanging="360"/>
      </w:pPr>
      <w:rPr>
        <w:rFonts w:asciiTheme="minorHAnsi" w:eastAsiaTheme="minorEastAsia" w:hAnsi="Arial" w:cstheme="minorBidi"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9B139F"/>
    <w:multiLevelType w:val="hybridMultilevel"/>
    <w:tmpl w:val="A594C16C"/>
    <w:lvl w:ilvl="0" w:tplc="2E6C3C0A">
      <w:start w:val="1"/>
      <w:numFmt w:val="decimal"/>
      <w:lvlText w:val="%1-"/>
      <w:lvlJc w:val="left"/>
      <w:pPr>
        <w:ind w:left="1070" w:hanging="360"/>
      </w:pPr>
      <w:rPr>
        <w:rFonts w:hint="default"/>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num w:numId="1">
    <w:abstractNumId w:val="19"/>
  </w:num>
  <w:num w:numId="2">
    <w:abstractNumId w:val="10"/>
  </w:num>
  <w:num w:numId="3">
    <w:abstractNumId w:val="20"/>
  </w:num>
  <w:num w:numId="4">
    <w:abstractNumId w:val="18"/>
  </w:num>
  <w:num w:numId="5">
    <w:abstractNumId w:val="12"/>
  </w:num>
  <w:num w:numId="6">
    <w:abstractNumId w:val="3"/>
  </w:num>
  <w:num w:numId="7">
    <w:abstractNumId w:val="9"/>
  </w:num>
  <w:num w:numId="8">
    <w:abstractNumId w:val="21"/>
  </w:num>
  <w:num w:numId="9">
    <w:abstractNumId w:val="6"/>
  </w:num>
  <w:num w:numId="10">
    <w:abstractNumId w:val="11"/>
  </w:num>
  <w:num w:numId="11">
    <w:abstractNumId w:val="7"/>
  </w:num>
  <w:num w:numId="12">
    <w:abstractNumId w:val="8"/>
  </w:num>
  <w:num w:numId="13">
    <w:abstractNumId w:val="13"/>
  </w:num>
  <w:num w:numId="14">
    <w:abstractNumId w:val="17"/>
  </w:num>
  <w:num w:numId="15">
    <w:abstractNumId w:val="16"/>
  </w:num>
  <w:num w:numId="16">
    <w:abstractNumId w:val="1"/>
  </w:num>
  <w:num w:numId="17">
    <w:abstractNumId w:val="2"/>
  </w:num>
  <w:num w:numId="18">
    <w:abstractNumId w:val="14"/>
  </w:num>
  <w:num w:numId="19">
    <w:abstractNumId w:val="15"/>
  </w:num>
  <w:num w:numId="20">
    <w:abstractNumId w:val="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4D"/>
    <w:rsid w:val="0002268B"/>
    <w:rsid w:val="000328CC"/>
    <w:rsid w:val="00052C47"/>
    <w:rsid w:val="000748C9"/>
    <w:rsid w:val="000775AB"/>
    <w:rsid w:val="00090263"/>
    <w:rsid w:val="00093534"/>
    <w:rsid w:val="000E1FFC"/>
    <w:rsid w:val="0013442A"/>
    <w:rsid w:val="0014137D"/>
    <w:rsid w:val="001417B9"/>
    <w:rsid w:val="00147C47"/>
    <w:rsid w:val="00171952"/>
    <w:rsid w:val="001B73EA"/>
    <w:rsid w:val="001E1DBE"/>
    <w:rsid w:val="001E4148"/>
    <w:rsid w:val="00261181"/>
    <w:rsid w:val="00280761"/>
    <w:rsid w:val="00283EF9"/>
    <w:rsid w:val="002870C7"/>
    <w:rsid w:val="002B4C08"/>
    <w:rsid w:val="002C114A"/>
    <w:rsid w:val="0030291A"/>
    <w:rsid w:val="00323147"/>
    <w:rsid w:val="003654F0"/>
    <w:rsid w:val="0037344D"/>
    <w:rsid w:val="00384FE7"/>
    <w:rsid w:val="00414445"/>
    <w:rsid w:val="00420993"/>
    <w:rsid w:val="00462B03"/>
    <w:rsid w:val="00466FA2"/>
    <w:rsid w:val="004876D9"/>
    <w:rsid w:val="004C07B1"/>
    <w:rsid w:val="004C3B7A"/>
    <w:rsid w:val="004E3400"/>
    <w:rsid w:val="00502F84"/>
    <w:rsid w:val="00534193"/>
    <w:rsid w:val="00537D1E"/>
    <w:rsid w:val="005601E8"/>
    <w:rsid w:val="005D4D9D"/>
    <w:rsid w:val="005F4708"/>
    <w:rsid w:val="006476C4"/>
    <w:rsid w:val="00666586"/>
    <w:rsid w:val="0067101F"/>
    <w:rsid w:val="006776BC"/>
    <w:rsid w:val="006E2D40"/>
    <w:rsid w:val="006F3734"/>
    <w:rsid w:val="007253C2"/>
    <w:rsid w:val="007469C0"/>
    <w:rsid w:val="00751A5B"/>
    <w:rsid w:val="00752EAD"/>
    <w:rsid w:val="00757851"/>
    <w:rsid w:val="0079030E"/>
    <w:rsid w:val="00796320"/>
    <w:rsid w:val="007967ED"/>
    <w:rsid w:val="007A4EA0"/>
    <w:rsid w:val="008568C8"/>
    <w:rsid w:val="0087647C"/>
    <w:rsid w:val="00880272"/>
    <w:rsid w:val="008847A8"/>
    <w:rsid w:val="00897061"/>
    <w:rsid w:val="008B1EAB"/>
    <w:rsid w:val="008D6DE7"/>
    <w:rsid w:val="008E748F"/>
    <w:rsid w:val="009010A8"/>
    <w:rsid w:val="00917338"/>
    <w:rsid w:val="00936473"/>
    <w:rsid w:val="009854D3"/>
    <w:rsid w:val="009B1E6C"/>
    <w:rsid w:val="009E6649"/>
    <w:rsid w:val="00A65873"/>
    <w:rsid w:val="00A7078B"/>
    <w:rsid w:val="00A74C88"/>
    <w:rsid w:val="00AC0F2B"/>
    <w:rsid w:val="00AC2FFE"/>
    <w:rsid w:val="00AD0F70"/>
    <w:rsid w:val="00AE2729"/>
    <w:rsid w:val="00B55914"/>
    <w:rsid w:val="00B6009E"/>
    <w:rsid w:val="00BD54E2"/>
    <w:rsid w:val="00BF6E18"/>
    <w:rsid w:val="00C42E1F"/>
    <w:rsid w:val="00C44E62"/>
    <w:rsid w:val="00C468EC"/>
    <w:rsid w:val="00C55438"/>
    <w:rsid w:val="00C6293A"/>
    <w:rsid w:val="00C64109"/>
    <w:rsid w:val="00CB10CF"/>
    <w:rsid w:val="00CB254E"/>
    <w:rsid w:val="00CD01D9"/>
    <w:rsid w:val="00CD6BDD"/>
    <w:rsid w:val="00CE3230"/>
    <w:rsid w:val="00D51BA6"/>
    <w:rsid w:val="00D76A7D"/>
    <w:rsid w:val="00D832AA"/>
    <w:rsid w:val="00DB6057"/>
    <w:rsid w:val="00DC360D"/>
    <w:rsid w:val="00DC50B5"/>
    <w:rsid w:val="00E46976"/>
    <w:rsid w:val="00E64505"/>
    <w:rsid w:val="00F04EFB"/>
    <w:rsid w:val="00F06BA4"/>
    <w:rsid w:val="00F15F97"/>
    <w:rsid w:val="00F317A1"/>
    <w:rsid w:val="00F54ADF"/>
    <w:rsid w:val="00F60D10"/>
    <w:rsid w:val="00FA25AA"/>
    <w:rsid w:val="00FB0A69"/>
    <w:rsid w:val="00FB5F60"/>
    <w:rsid w:val="00FE7282"/>
    <w:rsid w:val="00FE7530"/>
    <w:rsid w:val="00FF0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8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61181"/>
    <w:pPr>
      <w:keepNext/>
      <w:outlineLvl w:val="0"/>
    </w:pPr>
    <w:rPr>
      <w:rFonts w:ascii="Arial" w:hAnsi="Arial"/>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261181"/>
    <w:rPr>
      <w:b/>
      <w:bCs/>
      <w:i w:val="0"/>
      <w:iCs w:val="0"/>
    </w:rPr>
  </w:style>
  <w:style w:type="character" w:customStyle="1" w:styleId="Balk1Char">
    <w:name w:val="Başlık 1 Char"/>
    <w:basedOn w:val="VarsaylanParagrafYazTipi"/>
    <w:link w:val="Balk1"/>
    <w:rsid w:val="00261181"/>
    <w:rPr>
      <w:rFonts w:ascii="Arial" w:eastAsia="Times New Roman" w:hAnsi="Arial" w:cs="Times New Roman"/>
      <w:sz w:val="24"/>
      <w:szCs w:val="20"/>
      <w:lang w:eastAsia="tr-TR"/>
    </w:rPr>
  </w:style>
  <w:style w:type="paragraph" w:styleId="ListeParagraf">
    <w:name w:val="List Paragraph"/>
    <w:basedOn w:val="Normal"/>
    <w:uiPriority w:val="34"/>
    <w:qFormat/>
    <w:rsid w:val="00CB10CF"/>
    <w:pPr>
      <w:ind w:left="720"/>
      <w:contextualSpacing/>
    </w:pPr>
  </w:style>
  <w:style w:type="paragraph" w:styleId="NormalWeb">
    <w:name w:val="Normal (Web)"/>
    <w:basedOn w:val="Normal"/>
    <w:uiPriority w:val="99"/>
    <w:unhideWhenUsed/>
    <w:rsid w:val="009E6649"/>
    <w:pPr>
      <w:spacing w:before="100" w:beforeAutospacing="1" w:after="100" w:afterAutospacing="1"/>
    </w:pPr>
  </w:style>
  <w:style w:type="paragraph" w:styleId="BalonMetni">
    <w:name w:val="Balloon Text"/>
    <w:basedOn w:val="Normal"/>
    <w:link w:val="BalonMetniChar"/>
    <w:uiPriority w:val="99"/>
    <w:semiHidden/>
    <w:unhideWhenUsed/>
    <w:rsid w:val="00C6293A"/>
    <w:rPr>
      <w:rFonts w:ascii="Tahoma" w:hAnsi="Tahoma" w:cs="Tahoma"/>
      <w:sz w:val="16"/>
      <w:szCs w:val="16"/>
    </w:rPr>
  </w:style>
  <w:style w:type="character" w:customStyle="1" w:styleId="BalonMetniChar">
    <w:name w:val="Balon Metni Char"/>
    <w:basedOn w:val="VarsaylanParagrafYazTipi"/>
    <w:link w:val="BalonMetni"/>
    <w:uiPriority w:val="99"/>
    <w:semiHidden/>
    <w:rsid w:val="00C6293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8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61181"/>
    <w:pPr>
      <w:keepNext/>
      <w:outlineLvl w:val="0"/>
    </w:pPr>
    <w:rPr>
      <w:rFonts w:ascii="Arial" w:hAnsi="Arial"/>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261181"/>
    <w:rPr>
      <w:b/>
      <w:bCs/>
      <w:i w:val="0"/>
      <w:iCs w:val="0"/>
    </w:rPr>
  </w:style>
  <w:style w:type="character" w:customStyle="1" w:styleId="Balk1Char">
    <w:name w:val="Başlık 1 Char"/>
    <w:basedOn w:val="VarsaylanParagrafYazTipi"/>
    <w:link w:val="Balk1"/>
    <w:rsid w:val="00261181"/>
    <w:rPr>
      <w:rFonts w:ascii="Arial" w:eastAsia="Times New Roman" w:hAnsi="Arial" w:cs="Times New Roman"/>
      <w:sz w:val="24"/>
      <w:szCs w:val="20"/>
      <w:lang w:eastAsia="tr-TR"/>
    </w:rPr>
  </w:style>
  <w:style w:type="paragraph" w:styleId="ListeParagraf">
    <w:name w:val="List Paragraph"/>
    <w:basedOn w:val="Normal"/>
    <w:uiPriority w:val="34"/>
    <w:qFormat/>
    <w:rsid w:val="00CB10CF"/>
    <w:pPr>
      <w:ind w:left="720"/>
      <w:contextualSpacing/>
    </w:pPr>
  </w:style>
  <w:style w:type="paragraph" w:styleId="NormalWeb">
    <w:name w:val="Normal (Web)"/>
    <w:basedOn w:val="Normal"/>
    <w:uiPriority w:val="99"/>
    <w:unhideWhenUsed/>
    <w:rsid w:val="009E6649"/>
    <w:pPr>
      <w:spacing w:before="100" w:beforeAutospacing="1" w:after="100" w:afterAutospacing="1"/>
    </w:pPr>
  </w:style>
  <w:style w:type="paragraph" w:styleId="BalonMetni">
    <w:name w:val="Balloon Text"/>
    <w:basedOn w:val="Normal"/>
    <w:link w:val="BalonMetniChar"/>
    <w:uiPriority w:val="99"/>
    <w:semiHidden/>
    <w:unhideWhenUsed/>
    <w:rsid w:val="00C6293A"/>
    <w:rPr>
      <w:rFonts w:ascii="Tahoma" w:hAnsi="Tahoma" w:cs="Tahoma"/>
      <w:sz w:val="16"/>
      <w:szCs w:val="16"/>
    </w:rPr>
  </w:style>
  <w:style w:type="character" w:customStyle="1" w:styleId="BalonMetniChar">
    <w:name w:val="Balon Metni Char"/>
    <w:basedOn w:val="VarsaylanParagrafYazTipi"/>
    <w:link w:val="BalonMetni"/>
    <w:uiPriority w:val="99"/>
    <w:semiHidden/>
    <w:rsid w:val="00C6293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6553">
      <w:bodyDiv w:val="1"/>
      <w:marLeft w:val="0"/>
      <w:marRight w:val="0"/>
      <w:marTop w:val="0"/>
      <w:marBottom w:val="0"/>
      <w:divBdr>
        <w:top w:val="none" w:sz="0" w:space="0" w:color="auto"/>
        <w:left w:val="none" w:sz="0" w:space="0" w:color="auto"/>
        <w:bottom w:val="none" w:sz="0" w:space="0" w:color="auto"/>
        <w:right w:val="none" w:sz="0" w:space="0" w:color="auto"/>
      </w:divBdr>
    </w:div>
    <w:div w:id="16650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993B1-0646-47DB-8A9D-4CF248846293}"/>
</file>

<file path=customXml/itemProps2.xml><?xml version="1.0" encoding="utf-8"?>
<ds:datastoreItem xmlns:ds="http://schemas.openxmlformats.org/officeDocument/2006/customXml" ds:itemID="{A0ECC9C3-A909-412C-8311-DBA8BDED1442}"/>
</file>

<file path=customXml/itemProps3.xml><?xml version="1.0" encoding="utf-8"?>
<ds:datastoreItem xmlns:ds="http://schemas.openxmlformats.org/officeDocument/2006/customXml" ds:itemID="{B5089CCB-E0B2-4962-B051-4285CD14B83D}"/>
</file>

<file path=docProps/app.xml><?xml version="1.0" encoding="utf-8"?>
<Properties xmlns="http://schemas.openxmlformats.org/officeDocument/2006/extended-properties" xmlns:vt="http://schemas.openxmlformats.org/officeDocument/2006/docPropsVTypes">
  <Template>Normal</Template>
  <TotalTime>192</TotalTime>
  <Pages>3</Pages>
  <Words>1902</Words>
  <Characters>10848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GÜBRE-KONGRESİ SONUÇ BİLDİRGESİ</dc:title>
  <dc:creator>HORSENK</dc:creator>
  <cp:lastModifiedBy>User233-3</cp:lastModifiedBy>
  <cp:revision>3</cp:revision>
  <cp:lastPrinted>2013-06-14T14:13:00Z</cp:lastPrinted>
  <dcterms:created xsi:type="dcterms:W3CDTF">2013-10-01T07:25:00Z</dcterms:created>
  <dcterms:modified xsi:type="dcterms:W3CDTF">2013-10-01T11:44:00Z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